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8293A" w14:textId="45E90AC5" w:rsidR="008C22BC" w:rsidRDefault="00AA04CE" w:rsidP="000A6FB8">
      <w:pPr>
        <w:jc w:val="center"/>
        <w:rPr>
          <w:rFonts w:ascii="宋体" w:eastAsia="宋体" w:hAnsi="宋体"/>
          <w:b/>
          <w:sz w:val="30"/>
          <w:szCs w:val="30"/>
        </w:rPr>
      </w:pPr>
      <w:r>
        <w:rPr>
          <w:rFonts w:ascii="宋体" w:eastAsia="宋体" w:hAnsi="宋体" w:hint="eastAsia"/>
          <w:b/>
          <w:sz w:val="28"/>
          <w:szCs w:val="28"/>
        </w:rPr>
        <w:t>公司旗下基金产品或服务风险等级评价说明</w:t>
      </w:r>
    </w:p>
    <w:p w14:paraId="7E527227" w14:textId="175E9B0D" w:rsidR="00666055" w:rsidRPr="008C22BC" w:rsidRDefault="000A6FB8" w:rsidP="008C22BC">
      <w:pPr>
        <w:jc w:val="center"/>
        <w:rPr>
          <w:rFonts w:ascii="宋体" w:eastAsia="宋体" w:hAnsi="宋体"/>
          <w:sz w:val="30"/>
          <w:szCs w:val="30"/>
        </w:rPr>
      </w:pPr>
      <w:r w:rsidRPr="00666055">
        <w:rPr>
          <w:rFonts w:ascii="宋体" w:eastAsia="宋体" w:hAnsi="宋体" w:hint="eastAsia"/>
          <w:sz w:val="30"/>
          <w:szCs w:val="30"/>
        </w:rPr>
        <w:t>（2</w:t>
      </w:r>
      <w:r w:rsidRPr="00666055">
        <w:rPr>
          <w:rFonts w:ascii="宋体" w:eastAsia="宋体" w:hAnsi="宋体"/>
          <w:sz w:val="30"/>
          <w:szCs w:val="30"/>
        </w:rPr>
        <w:t>02</w:t>
      </w:r>
      <w:r w:rsidR="000C6CEB">
        <w:rPr>
          <w:rFonts w:ascii="宋体" w:eastAsia="宋体" w:hAnsi="宋体"/>
          <w:sz w:val="30"/>
          <w:szCs w:val="30"/>
        </w:rPr>
        <w:t>2</w:t>
      </w:r>
      <w:r w:rsidRPr="00666055">
        <w:rPr>
          <w:rFonts w:ascii="宋体" w:eastAsia="宋体" w:hAnsi="宋体" w:hint="eastAsia"/>
          <w:sz w:val="30"/>
          <w:szCs w:val="30"/>
        </w:rPr>
        <w:t>版）</w:t>
      </w:r>
    </w:p>
    <w:p w14:paraId="3BF24B70" w14:textId="7D9B9D56" w:rsidR="00870F21" w:rsidRDefault="000E44A0" w:rsidP="008C22BC">
      <w:pPr>
        <w:jc w:val="center"/>
        <w:rPr>
          <w:rFonts w:ascii="宋体" w:eastAsia="宋体" w:hAnsi="宋体"/>
        </w:rPr>
      </w:pPr>
      <w:r>
        <w:rPr>
          <w:rFonts w:ascii="宋体" w:eastAsia="宋体" w:hAnsi="宋体" w:hint="eastAsia"/>
        </w:rPr>
        <w:t>中欧基金管理有限公司</w:t>
      </w:r>
    </w:p>
    <w:p w14:paraId="5944D889" w14:textId="180BA454" w:rsidR="000A6FB8" w:rsidRPr="00CB6E35" w:rsidRDefault="001D6D1D" w:rsidP="00576E9E">
      <w:pPr>
        <w:jc w:val="center"/>
        <w:rPr>
          <w:rFonts w:ascii="宋体" w:eastAsia="宋体" w:hAnsi="宋体"/>
        </w:rPr>
      </w:pPr>
      <w:r>
        <w:rPr>
          <w:rFonts w:ascii="宋体" w:eastAsia="宋体" w:hAnsi="宋体" w:hint="eastAsia"/>
        </w:rPr>
        <w:t>2</w:t>
      </w:r>
      <w:r>
        <w:rPr>
          <w:rFonts w:ascii="宋体" w:eastAsia="宋体" w:hAnsi="宋体"/>
        </w:rPr>
        <w:t>02</w:t>
      </w:r>
      <w:r w:rsidR="000C6CEB">
        <w:rPr>
          <w:rFonts w:ascii="宋体" w:eastAsia="宋体" w:hAnsi="宋体"/>
        </w:rPr>
        <w:t>2</w:t>
      </w:r>
      <w:r>
        <w:rPr>
          <w:rFonts w:ascii="宋体" w:eastAsia="宋体" w:hAnsi="宋体" w:hint="eastAsia"/>
        </w:rPr>
        <w:t>年</w:t>
      </w:r>
      <w:r w:rsidR="006E2712">
        <w:rPr>
          <w:rFonts w:ascii="宋体" w:eastAsia="宋体" w:hAnsi="宋体"/>
        </w:rPr>
        <w:t>2</w:t>
      </w:r>
      <w:r w:rsidR="00576E9E">
        <w:rPr>
          <w:rFonts w:ascii="宋体" w:eastAsia="宋体" w:hAnsi="宋体" w:hint="eastAsia"/>
        </w:rPr>
        <w:t>月</w:t>
      </w:r>
      <w:r w:rsidR="006E2712">
        <w:rPr>
          <w:rFonts w:ascii="宋体" w:eastAsia="宋体" w:hAnsi="宋体"/>
        </w:rPr>
        <w:t>1</w:t>
      </w:r>
      <w:r w:rsidR="003A01A1">
        <w:rPr>
          <w:rFonts w:ascii="宋体" w:eastAsia="宋体" w:hAnsi="宋体" w:hint="eastAsia"/>
        </w:rPr>
        <w:t>日</w:t>
      </w:r>
    </w:p>
    <w:p w14:paraId="01B3FE40" w14:textId="77777777" w:rsidR="00236563" w:rsidRDefault="00236563" w:rsidP="00236563">
      <w:pPr>
        <w:spacing w:beforeLines="100" w:before="312"/>
        <w:ind w:firstLineChars="200" w:firstLine="420"/>
        <w:rPr>
          <w:rFonts w:ascii="宋体" w:eastAsia="宋体" w:hAnsi="宋体"/>
        </w:rPr>
      </w:pPr>
      <w:r w:rsidRPr="00236563">
        <w:rPr>
          <w:rFonts w:ascii="宋体" w:eastAsia="宋体" w:hAnsi="宋体" w:hint="eastAsia"/>
        </w:rPr>
        <w:t>根据《证券投资基金销售适用性指导意见》、《证券期货投资者适当性管理办法》及《基金募集机构投资者适当性管理实施指引（试行）》的相关要求，依照“将合适的产品卖给合适的投资人”原则，公司对旗下基金产品或服务风险等级进行审慎评估，通过定量和定性相结合的方法对综合评定基金产品或服务风险等级。</w:t>
      </w:r>
    </w:p>
    <w:p w14:paraId="667D0BBF" w14:textId="67881DD7" w:rsidR="000E44A0" w:rsidRPr="00236563" w:rsidRDefault="00236563" w:rsidP="000E44A0">
      <w:pPr>
        <w:spacing w:beforeLines="100" w:before="312"/>
        <w:ind w:firstLineChars="200" w:firstLine="420"/>
        <w:rPr>
          <w:rFonts w:ascii="宋体" w:eastAsia="宋体" w:hAnsi="宋体"/>
        </w:rPr>
      </w:pPr>
      <w:r>
        <w:rPr>
          <w:rFonts w:ascii="宋体" w:eastAsia="宋体" w:hAnsi="宋体" w:hint="eastAsia"/>
        </w:rPr>
        <w:t>1、</w:t>
      </w:r>
      <w:r w:rsidRPr="00236563">
        <w:rPr>
          <w:rFonts w:ascii="宋体" w:eastAsia="宋体" w:hAnsi="宋体"/>
        </w:rPr>
        <w:t>公司旗下基金/专户产品风险划分为五个等级。依据风险从高到低，依次为高风险（R5）、较高风险（R4）、中风险（R3）、较低风险（R2）和低风险（R1）。</w:t>
      </w:r>
    </w:p>
    <w:p w14:paraId="5E3AE1D2" w14:textId="7FE1FDA4" w:rsidR="00236563" w:rsidRDefault="00236563" w:rsidP="00236563">
      <w:pPr>
        <w:spacing w:beforeLines="100" w:before="312"/>
        <w:ind w:firstLineChars="200" w:firstLine="420"/>
        <w:rPr>
          <w:rFonts w:ascii="宋体" w:eastAsia="宋体" w:hAnsi="宋体"/>
        </w:rPr>
      </w:pPr>
      <w:r w:rsidRPr="00236563">
        <w:rPr>
          <w:rFonts w:ascii="宋体" w:eastAsia="宋体" w:hAnsi="宋体"/>
        </w:rPr>
        <w:t>2. 执行基金产品或者服务风险等级划分时，将综合考虑以下因素：</w:t>
      </w:r>
    </w:p>
    <w:p w14:paraId="770B7397" w14:textId="1AA1132B" w:rsidR="00AA04CE" w:rsidRPr="00AA04CE" w:rsidRDefault="00AA04CE" w:rsidP="00AA04CE">
      <w:pPr>
        <w:spacing w:beforeLines="100" w:before="312"/>
        <w:ind w:firstLineChars="200" w:firstLine="420"/>
        <w:rPr>
          <w:rFonts w:ascii="宋体" w:eastAsia="宋体" w:hAnsi="宋体"/>
        </w:rPr>
      </w:pPr>
      <w:r>
        <w:rPr>
          <w:rFonts w:ascii="宋体" w:eastAsia="宋体" w:hAnsi="宋体" w:hint="eastAsia"/>
        </w:rPr>
        <w:t>（1</w:t>
      </w:r>
      <w:r w:rsidRPr="00AA04CE">
        <w:rPr>
          <w:rFonts w:ascii="宋体" w:eastAsia="宋体" w:hAnsi="宋体" w:hint="eastAsia"/>
        </w:rPr>
        <w:t>）基金管理人成立时间，治理结构，资本金规模，管理基金规模，投研团队稳定性，资产配置能力、内部控制制度健全性及执行度，风险控制完备性，是否有风险准备金制度安排，从业人员合规性，股东、高级管理人员及基金经理的稳定性等；</w:t>
      </w:r>
    </w:p>
    <w:p w14:paraId="618F9815" w14:textId="72C64AC0" w:rsidR="00236563" w:rsidRDefault="00AA04CE" w:rsidP="00AA04CE">
      <w:pPr>
        <w:spacing w:beforeLines="100" w:before="312"/>
        <w:ind w:firstLineChars="200" w:firstLine="420"/>
        <w:rPr>
          <w:rFonts w:ascii="宋体" w:eastAsia="宋体" w:hAnsi="宋体"/>
        </w:rPr>
      </w:pPr>
      <w:r>
        <w:rPr>
          <w:rFonts w:ascii="宋体" w:eastAsia="宋体" w:hAnsi="宋体" w:hint="eastAsia"/>
        </w:rPr>
        <w:t>（2</w:t>
      </w:r>
      <w:r w:rsidRPr="00AA04CE">
        <w:rPr>
          <w:rFonts w:ascii="宋体" w:eastAsia="宋体" w:hAnsi="宋体" w:hint="eastAsia"/>
        </w:rPr>
        <w:t>）基金产品或者服务的结构，投资方向、投资范围和投资比例，募集方式，运作方式，流动性安排，存续期限，过往业绩及净值的历史波动</w:t>
      </w:r>
      <w:r w:rsidR="000E44A0">
        <w:rPr>
          <w:rFonts w:ascii="宋体" w:eastAsia="宋体" w:hAnsi="宋体" w:hint="eastAsia"/>
        </w:rPr>
        <w:t>率、历史在险价值等风险指标</w:t>
      </w:r>
      <w:r w:rsidRPr="00AA04CE">
        <w:rPr>
          <w:rFonts w:ascii="宋体" w:eastAsia="宋体" w:hAnsi="宋体" w:hint="eastAsia"/>
        </w:rPr>
        <w:t>，成立以来有无违规行为发生，基金估值政策、程序和定价模式，申购和赎回安排，杠杆运用情况等。</w:t>
      </w:r>
    </w:p>
    <w:p w14:paraId="02B0F7DF" w14:textId="77777777" w:rsidR="00AA04CE" w:rsidRPr="00AA04CE" w:rsidRDefault="00AA04CE" w:rsidP="00AA04CE">
      <w:pPr>
        <w:spacing w:beforeLines="100" w:before="312"/>
        <w:ind w:firstLineChars="200" w:firstLine="420"/>
        <w:rPr>
          <w:rFonts w:ascii="宋体" w:eastAsia="宋体" w:hAnsi="宋体"/>
        </w:rPr>
      </w:pPr>
      <w:r w:rsidRPr="00AA04CE">
        <w:rPr>
          <w:rFonts w:ascii="宋体" w:eastAsia="宋体" w:hAnsi="宋体"/>
        </w:rPr>
        <w:t>3. 如基金产品或者服务存在下列因素的，将审慎评估其风险等级：</w:t>
      </w:r>
    </w:p>
    <w:p w14:paraId="5A21CD33" w14:textId="3C595A4A" w:rsidR="00AA04CE" w:rsidRPr="00AA04CE" w:rsidRDefault="00AA04CE" w:rsidP="00AA04CE">
      <w:pPr>
        <w:spacing w:beforeLines="100" w:before="312"/>
        <w:ind w:firstLineChars="200" w:firstLine="420"/>
        <w:rPr>
          <w:rFonts w:ascii="宋体" w:eastAsia="宋体" w:hAnsi="宋体"/>
        </w:rPr>
      </w:pPr>
      <w:r w:rsidRPr="00AA04CE">
        <w:rPr>
          <w:rFonts w:ascii="宋体" w:eastAsia="宋体" w:hAnsi="宋体" w:hint="eastAsia"/>
        </w:rPr>
        <w:t>（</w:t>
      </w:r>
      <w:r>
        <w:rPr>
          <w:rFonts w:ascii="宋体" w:eastAsia="宋体" w:hAnsi="宋体" w:hint="eastAsia"/>
        </w:rPr>
        <w:t>1）基金产品或者服务合同存在特殊复杂</w:t>
      </w:r>
      <w:r w:rsidRPr="00AA04CE">
        <w:rPr>
          <w:rFonts w:ascii="宋体" w:eastAsia="宋体" w:hAnsi="宋体" w:hint="eastAsia"/>
        </w:rPr>
        <w:t>条款、</w:t>
      </w:r>
      <w:r>
        <w:rPr>
          <w:rFonts w:ascii="宋体" w:eastAsia="宋体" w:hAnsi="宋体" w:hint="eastAsia"/>
        </w:rPr>
        <w:t>产品结构</w:t>
      </w:r>
      <w:r w:rsidR="000E44A0">
        <w:rPr>
          <w:rFonts w:ascii="宋体" w:eastAsia="宋体" w:hAnsi="宋体" w:hint="eastAsia"/>
        </w:rPr>
        <w:t>、</w:t>
      </w:r>
      <w:r>
        <w:rPr>
          <w:rFonts w:ascii="宋体" w:eastAsia="宋体" w:hAnsi="宋体" w:hint="eastAsia"/>
        </w:rPr>
        <w:t>特殊</w:t>
      </w:r>
      <w:r w:rsidR="000E44A0">
        <w:rPr>
          <w:rFonts w:ascii="宋体" w:eastAsia="宋体" w:hAnsi="宋体" w:hint="eastAsia"/>
        </w:rPr>
        <w:t>投资标的</w:t>
      </w:r>
      <w:r w:rsidRPr="00AA04CE">
        <w:rPr>
          <w:rFonts w:ascii="宋体" w:eastAsia="宋体" w:hAnsi="宋体" w:hint="eastAsia"/>
        </w:rPr>
        <w:t>等导致普通投资者难以理解的；</w:t>
      </w:r>
    </w:p>
    <w:p w14:paraId="5DC9F74B" w14:textId="3DE11A3E" w:rsidR="00AA04CE" w:rsidRPr="00AA04CE" w:rsidRDefault="00AA04CE" w:rsidP="00AA04CE">
      <w:pPr>
        <w:spacing w:beforeLines="100" w:before="312"/>
        <w:ind w:firstLineChars="200" w:firstLine="420"/>
        <w:rPr>
          <w:rFonts w:ascii="宋体" w:eastAsia="宋体" w:hAnsi="宋体"/>
        </w:rPr>
      </w:pPr>
      <w:r w:rsidRPr="00AA04CE">
        <w:rPr>
          <w:rFonts w:ascii="宋体" w:eastAsia="宋体" w:hAnsi="宋体" w:hint="eastAsia"/>
        </w:rPr>
        <w:t>（</w:t>
      </w:r>
      <w:r>
        <w:rPr>
          <w:rFonts w:ascii="宋体" w:eastAsia="宋体" w:hAnsi="宋体" w:hint="eastAsia"/>
        </w:rPr>
        <w:t>2</w:t>
      </w:r>
      <w:r w:rsidRPr="00AA04CE">
        <w:rPr>
          <w:rFonts w:ascii="宋体" w:eastAsia="宋体" w:hAnsi="宋体" w:hint="eastAsia"/>
        </w:rPr>
        <w:t>）基金产品或者服务不存在公开交易市场，或因参与投资者少等因素导致难以在短期内以合理价格顺利变现的；</w:t>
      </w:r>
    </w:p>
    <w:p w14:paraId="2820D9F4" w14:textId="67EBB9C4" w:rsidR="00AA04CE" w:rsidRPr="00AA04CE" w:rsidRDefault="00AA04CE" w:rsidP="00AA04CE">
      <w:pPr>
        <w:spacing w:beforeLines="100" w:before="312"/>
        <w:ind w:firstLineChars="200" w:firstLine="420"/>
        <w:rPr>
          <w:rFonts w:ascii="宋体" w:eastAsia="宋体" w:hAnsi="宋体"/>
        </w:rPr>
      </w:pPr>
      <w:r w:rsidRPr="00AA04CE">
        <w:rPr>
          <w:rFonts w:ascii="宋体" w:eastAsia="宋体" w:hAnsi="宋体" w:hint="eastAsia"/>
        </w:rPr>
        <w:t>（</w:t>
      </w:r>
      <w:r>
        <w:rPr>
          <w:rFonts w:ascii="宋体" w:eastAsia="宋体" w:hAnsi="宋体" w:hint="eastAsia"/>
        </w:rPr>
        <w:t>3</w:t>
      </w:r>
      <w:r w:rsidRPr="00AA04CE">
        <w:rPr>
          <w:rFonts w:ascii="宋体" w:eastAsia="宋体" w:hAnsi="宋体" w:hint="eastAsia"/>
        </w:rPr>
        <w:t>）基金产品或者服务的投资标的流动性差、存在非标准资产投资导致不易估值的；</w:t>
      </w:r>
    </w:p>
    <w:p w14:paraId="0F563A17" w14:textId="660B5C14" w:rsidR="00AA04CE" w:rsidRPr="00AA04CE" w:rsidRDefault="00AA04CE" w:rsidP="00AA04CE">
      <w:pPr>
        <w:spacing w:beforeLines="100" w:before="312"/>
        <w:ind w:firstLineChars="200" w:firstLine="420"/>
        <w:rPr>
          <w:rFonts w:ascii="宋体" w:eastAsia="宋体" w:hAnsi="宋体"/>
        </w:rPr>
      </w:pPr>
      <w:r w:rsidRPr="00AA04CE">
        <w:rPr>
          <w:rFonts w:ascii="宋体" w:eastAsia="宋体" w:hAnsi="宋体" w:hint="eastAsia"/>
        </w:rPr>
        <w:t>（</w:t>
      </w:r>
      <w:r>
        <w:rPr>
          <w:rFonts w:ascii="宋体" w:eastAsia="宋体" w:hAnsi="宋体" w:hint="eastAsia"/>
        </w:rPr>
        <w:t>4</w:t>
      </w:r>
      <w:r w:rsidRPr="00AA04CE">
        <w:rPr>
          <w:rFonts w:ascii="宋体" w:eastAsia="宋体" w:hAnsi="宋体" w:hint="eastAsia"/>
        </w:rPr>
        <w:t>）基金产品或者服务投资杠杆达到相关要求上限、投资单一标的集中度过高的；</w:t>
      </w:r>
    </w:p>
    <w:p w14:paraId="4D616B52" w14:textId="03900C00" w:rsidR="00AA04CE" w:rsidRDefault="00AA04CE" w:rsidP="00AA04CE">
      <w:pPr>
        <w:spacing w:beforeLines="100" w:before="312"/>
        <w:ind w:firstLineChars="200" w:firstLine="420"/>
        <w:rPr>
          <w:rFonts w:ascii="宋体" w:eastAsia="宋体" w:hAnsi="宋体"/>
        </w:rPr>
      </w:pPr>
      <w:r>
        <w:rPr>
          <w:rFonts w:ascii="宋体" w:eastAsia="宋体" w:hAnsi="宋体" w:hint="eastAsia"/>
        </w:rPr>
        <w:t>（</w:t>
      </w:r>
      <w:r w:rsidR="000E44A0">
        <w:rPr>
          <w:rFonts w:ascii="宋体" w:eastAsia="宋体" w:hAnsi="宋体"/>
        </w:rPr>
        <w:t>5</w:t>
      </w:r>
      <w:r w:rsidRPr="00AA04CE">
        <w:rPr>
          <w:rFonts w:ascii="宋体" w:eastAsia="宋体" w:hAnsi="宋体" w:hint="eastAsia"/>
        </w:rPr>
        <w:t>）基金产品或者服务涉及面</w:t>
      </w:r>
      <w:r w:rsidR="000E44A0">
        <w:rPr>
          <w:rFonts w:ascii="宋体" w:eastAsia="宋体" w:hAnsi="宋体" w:hint="eastAsia"/>
        </w:rPr>
        <w:t>特别</w:t>
      </w:r>
      <w:r w:rsidRPr="00AA04CE">
        <w:rPr>
          <w:rFonts w:ascii="宋体" w:eastAsia="宋体" w:hAnsi="宋体" w:hint="eastAsia"/>
        </w:rPr>
        <w:t>广、影响力</w:t>
      </w:r>
      <w:r w:rsidR="000E44A0">
        <w:rPr>
          <w:rFonts w:ascii="宋体" w:eastAsia="宋体" w:hAnsi="宋体" w:hint="eastAsia"/>
        </w:rPr>
        <w:t>特别大的</w:t>
      </w:r>
      <w:r w:rsidRPr="00AA04CE">
        <w:rPr>
          <w:rFonts w:ascii="宋体" w:eastAsia="宋体" w:hAnsi="宋体" w:hint="eastAsia"/>
        </w:rPr>
        <w:t>；</w:t>
      </w:r>
    </w:p>
    <w:p w14:paraId="0D0B9D93" w14:textId="0BEDC692" w:rsidR="000E44A0" w:rsidRPr="000E44A0" w:rsidRDefault="000E44A0" w:rsidP="00AA04CE">
      <w:pPr>
        <w:spacing w:beforeLines="100" w:before="312"/>
        <w:ind w:firstLineChars="200" w:firstLine="420"/>
        <w:rPr>
          <w:rFonts w:ascii="宋体" w:eastAsia="宋体" w:hAnsi="宋体"/>
        </w:rPr>
      </w:pPr>
      <w:r>
        <w:rPr>
          <w:rFonts w:ascii="宋体" w:eastAsia="宋体" w:hAnsi="宋体" w:hint="eastAsia"/>
        </w:rPr>
        <w:t>（6）基金产品或者服务的规模特别小，存在清盘可能性的；</w:t>
      </w:r>
    </w:p>
    <w:p w14:paraId="2D5F027B" w14:textId="5E4F4808" w:rsidR="00AA04CE" w:rsidRPr="00AA04CE" w:rsidRDefault="00AA04CE" w:rsidP="00AA04CE">
      <w:pPr>
        <w:spacing w:beforeLines="100" w:before="312"/>
        <w:ind w:firstLineChars="200" w:firstLine="420"/>
        <w:rPr>
          <w:rFonts w:ascii="宋体" w:eastAsia="宋体" w:hAnsi="宋体"/>
        </w:rPr>
      </w:pPr>
      <w:r>
        <w:rPr>
          <w:rFonts w:ascii="宋体" w:eastAsia="宋体" w:hAnsi="宋体" w:hint="eastAsia"/>
        </w:rPr>
        <w:t>（</w:t>
      </w:r>
      <w:r w:rsidR="000E44A0">
        <w:rPr>
          <w:rFonts w:ascii="宋体" w:eastAsia="宋体" w:hAnsi="宋体"/>
        </w:rPr>
        <w:t>7</w:t>
      </w:r>
      <w:r w:rsidRPr="00AA04CE">
        <w:rPr>
          <w:rFonts w:ascii="宋体" w:eastAsia="宋体" w:hAnsi="宋体" w:hint="eastAsia"/>
        </w:rPr>
        <w:t>）基金管理人、实际控制人、高管人员涉嫌重大违法违规行为或正在接受监管部门或自律管理部门调查的；</w:t>
      </w:r>
    </w:p>
    <w:p w14:paraId="74ECA92C" w14:textId="4E8CF8AB" w:rsidR="00AA04CE" w:rsidRDefault="00AA04CE" w:rsidP="00AA04CE">
      <w:pPr>
        <w:spacing w:beforeLines="100" w:before="312"/>
        <w:ind w:firstLineChars="200" w:firstLine="420"/>
        <w:rPr>
          <w:rFonts w:ascii="宋体" w:eastAsia="宋体" w:hAnsi="宋体"/>
        </w:rPr>
      </w:pPr>
      <w:r w:rsidRPr="00AA04CE">
        <w:rPr>
          <w:rFonts w:ascii="宋体" w:eastAsia="宋体" w:hAnsi="宋体" w:hint="eastAsia"/>
        </w:rPr>
        <w:lastRenderedPageBreak/>
        <w:t>（</w:t>
      </w:r>
      <w:r w:rsidR="000E44A0">
        <w:rPr>
          <w:rFonts w:ascii="宋体" w:eastAsia="宋体" w:hAnsi="宋体"/>
        </w:rPr>
        <w:t>8</w:t>
      </w:r>
      <w:r w:rsidRPr="00AA04CE">
        <w:rPr>
          <w:rFonts w:ascii="宋体" w:eastAsia="宋体" w:hAnsi="宋体" w:hint="eastAsia"/>
        </w:rPr>
        <w:t>）影响投资者利益的其他重大事项；</w:t>
      </w:r>
    </w:p>
    <w:p w14:paraId="66ADC39F" w14:textId="1F5FA21E" w:rsidR="00AA04CE" w:rsidRPr="00AA04CE" w:rsidRDefault="00AA04CE" w:rsidP="00AA04CE">
      <w:pPr>
        <w:spacing w:beforeLines="100" w:before="312"/>
        <w:ind w:firstLineChars="200" w:firstLine="420"/>
        <w:rPr>
          <w:rFonts w:ascii="宋体" w:eastAsia="宋体" w:hAnsi="宋体"/>
        </w:rPr>
      </w:pPr>
      <w:r w:rsidRPr="00AA04CE">
        <w:rPr>
          <w:rFonts w:ascii="宋体" w:eastAsia="宋体" w:hAnsi="宋体" w:hint="eastAsia"/>
        </w:rPr>
        <w:t>（</w:t>
      </w:r>
      <w:r w:rsidR="000E44A0">
        <w:rPr>
          <w:rFonts w:ascii="宋体" w:eastAsia="宋体" w:hAnsi="宋体"/>
        </w:rPr>
        <w:t>9</w:t>
      </w:r>
      <w:r w:rsidRPr="00AA04CE">
        <w:rPr>
          <w:rFonts w:ascii="宋体" w:eastAsia="宋体" w:hAnsi="宋体" w:hint="eastAsia"/>
        </w:rPr>
        <w:t>）其他有可能构成投资风险的因素；</w:t>
      </w:r>
    </w:p>
    <w:p w14:paraId="3336AA11" w14:textId="6BEDB7CA" w:rsidR="00AA04CE" w:rsidRDefault="00AA04CE" w:rsidP="00AA04CE">
      <w:pPr>
        <w:spacing w:beforeLines="100" w:before="312"/>
        <w:ind w:firstLineChars="200" w:firstLine="420"/>
        <w:rPr>
          <w:rFonts w:ascii="宋体" w:eastAsia="宋体" w:hAnsi="宋体"/>
        </w:rPr>
      </w:pPr>
      <w:r w:rsidRPr="00AA04CE">
        <w:rPr>
          <w:rFonts w:ascii="宋体" w:eastAsia="宋体" w:hAnsi="宋体" w:hint="eastAsia"/>
        </w:rPr>
        <w:t>（</w:t>
      </w:r>
      <w:r>
        <w:rPr>
          <w:rFonts w:ascii="宋体" w:eastAsia="宋体" w:hAnsi="宋体" w:hint="eastAsia"/>
        </w:rPr>
        <w:t>1</w:t>
      </w:r>
      <w:r>
        <w:rPr>
          <w:rFonts w:ascii="宋体" w:eastAsia="宋体" w:hAnsi="宋体"/>
        </w:rPr>
        <w:t>0</w:t>
      </w:r>
      <w:r w:rsidRPr="00AA04CE">
        <w:rPr>
          <w:rFonts w:ascii="宋体" w:eastAsia="宋体" w:hAnsi="宋体" w:hint="eastAsia"/>
        </w:rPr>
        <w:t>）中国证券投资基金业协会认定的高风险基金产品或者服务。</w:t>
      </w:r>
    </w:p>
    <w:p w14:paraId="18A19B72" w14:textId="7D3B29CC" w:rsidR="00A124A9" w:rsidRPr="00A124A9" w:rsidRDefault="00A124A9" w:rsidP="00A124A9">
      <w:pPr>
        <w:spacing w:beforeLines="100" w:before="312"/>
        <w:ind w:firstLineChars="200" w:firstLine="420"/>
        <w:rPr>
          <w:rFonts w:ascii="宋体" w:eastAsia="宋体" w:hAnsi="宋体" w:hint="eastAsia"/>
        </w:rPr>
      </w:pPr>
      <w:r>
        <w:rPr>
          <w:rFonts w:ascii="宋体" w:eastAsia="宋体" w:hAnsi="宋体" w:hint="eastAsia"/>
        </w:rPr>
        <w:t>4、</w:t>
      </w:r>
      <w:r w:rsidRPr="00A124A9">
        <w:rPr>
          <w:rFonts w:ascii="宋体" w:eastAsia="宋体" w:hAnsi="宋体" w:hint="eastAsia"/>
        </w:rPr>
        <w:t>公司根据基金产品或者服务风险因素与风险等级的相关性，确定各项评估因素的分值和</w:t>
      </w:r>
      <w:r>
        <w:rPr>
          <w:rFonts w:ascii="宋体" w:eastAsia="宋体" w:hAnsi="宋体" w:hint="eastAsia"/>
        </w:rPr>
        <w:t>权重，建立</w:t>
      </w:r>
      <w:r w:rsidRPr="00A124A9">
        <w:rPr>
          <w:rFonts w:ascii="宋体" w:eastAsia="宋体" w:hAnsi="宋体" w:hint="eastAsia"/>
        </w:rPr>
        <w:t>普通投资者风险承受能力类型与产品或服务风险等级</w:t>
      </w:r>
      <w:r w:rsidRPr="00A124A9">
        <w:rPr>
          <w:rFonts w:ascii="宋体" w:eastAsia="宋体" w:hAnsi="宋体"/>
        </w:rPr>
        <w:t>的适当性匹配原则如下：</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080"/>
        <w:gridCol w:w="1080"/>
        <w:gridCol w:w="1080"/>
        <w:gridCol w:w="1080"/>
        <w:gridCol w:w="900"/>
      </w:tblGrid>
      <w:tr w:rsidR="00A124A9" w:rsidRPr="00F61CED" w14:paraId="647669C3" w14:textId="77777777" w:rsidTr="00EE604A">
        <w:trPr>
          <w:trHeight w:val="916"/>
          <w:jc w:val="center"/>
        </w:trPr>
        <w:tc>
          <w:tcPr>
            <w:tcW w:w="2808" w:type="dxa"/>
            <w:tcBorders>
              <w:tl2br w:val="single" w:sz="4" w:space="0" w:color="auto"/>
            </w:tcBorders>
          </w:tcPr>
          <w:p w14:paraId="0B1F3701" w14:textId="77777777" w:rsidR="00A124A9" w:rsidRPr="00A124A9" w:rsidRDefault="00A124A9" w:rsidP="00EE604A">
            <w:pPr>
              <w:spacing w:line="360" w:lineRule="auto"/>
              <w:ind w:leftChars="415" w:left="871" w:firstLineChars="16" w:firstLine="34"/>
              <w:rPr>
                <w:rFonts w:ascii="宋体" w:eastAsia="宋体" w:hAnsi="宋体" w:hint="eastAsia"/>
              </w:rPr>
            </w:pPr>
            <w:r w:rsidRPr="00A124A9">
              <w:rPr>
                <w:rFonts w:ascii="宋体" w:eastAsia="宋体" w:hAnsi="宋体" w:hint="eastAsia"/>
              </w:rPr>
              <w:t xml:space="preserve">  投资者风险类型</w:t>
            </w:r>
          </w:p>
          <w:p w14:paraId="478DEA1E" w14:textId="77777777" w:rsidR="00A124A9" w:rsidRPr="00A124A9" w:rsidRDefault="00A124A9" w:rsidP="00EE604A">
            <w:pPr>
              <w:spacing w:line="360" w:lineRule="auto"/>
              <w:ind w:left="1014" w:hangingChars="483" w:hanging="1014"/>
              <w:rPr>
                <w:rFonts w:ascii="宋体" w:eastAsia="宋体" w:hAnsi="宋体" w:hint="eastAsia"/>
              </w:rPr>
            </w:pPr>
            <w:r w:rsidRPr="00A124A9">
              <w:rPr>
                <w:rFonts w:ascii="宋体" w:eastAsia="宋体" w:hAnsi="宋体" w:hint="eastAsia"/>
              </w:rPr>
              <w:t>产品风险等级</w:t>
            </w:r>
          </w:p>
        </w:tc>
        <w:tc>
          <w:tcPr>
            <w:tcW w:w="1080" w:type="dxa"/>
          </w:tcPr>
          <w:p w14:paraId="2A5B690D" w14:textId="77777777" w:rsidR="00A124A9" w:rsidRPr="00A124A9" w:rsidRDefault="00A124A9" w:rsidP="00EE604A">
            <w:pPr>
              <w:spacing w:line="360" w:lineRule="auto"/>
              <w:rPr>
                <w:rFonts w:ascii="宋体" w:eastAsia="宋体" w:hAnsi="宋体" w:hint="eastAsia"/>
              </w:rPr>
            </w:pPr>
            <w:r w:rsidRPr="00A124A9">
              <w:rPr>
                <w:rFonts w:ascii="宋体" w:eastAsia="宋体" w:hAnsi="宋体" w:hint="eastAsia"/>
              </w:rPr>
              <w:t>安全型(C1)</w:t>
            </w:r>
          </w:p>
        </w:tc>
        <w:tc>
          <w:tcPr>
            <w:tcW w:w="1080" w:type="dxa"/>
          </w:tcPr>
          <w:p w14:paraId="0FD9DDA2" w14:textId="77777777" w:rsidR="00A124A9" w:rsidRPr="00A124A9" w:rsidRDefault="00A124A9" w:rsidP="00EE604A">
            <w:pPr>
              <w:spacing w:line="360" w:lineRule="auto"/>
              <w:rPr>
                <w:rFonts w:ascii="宋体" w:eastAsia="宋体" w:hAnsi="宋体" w:hint="eastAsia"/>
              </w:rPr>
            </w:pPr>
            <w:r w:rsidRPr="00A124A9">
              <w:rPr>
                <w:rFonts w:ascii="宋体" w:eastAsia="宋体" w:hAnsi="宋体" w:hint="eastAsia"/>
              </w:rPr>
              <w:t>保守型</w:t>
            </w:r>
          </w:p>
          <w:p w14:paraId="34185563" w14:textId="77777777" w:rsidR="00A124A9" w:rsidRPr="00A124A9" w:rsidRDefault="00A124A9" w:rsidP="00EE604A">
            <w:pPr>
              <w:spacing w:line="360" w:lineRule="auto"/>
              <w:rPr>
                <w:rFonts w:ascii="宋体" w:eastAsia="宋体" w:hAnsi="宋体" w:hint="eastAsia"/>
              </w:rPr>
            </w:pPr>
            <w:r w:rsidRPr="00A124A9">
              <w:rPr>
                <w:rFonts w:ascii="宋体" w:eastAsia="宋体" w:hAnsi="宋体" w:hint="eastAsia"/>
              </w:rPr>
              <w:t>(C2)</w:t>
            </w:r>
          </w:p>
        </w:tc>
        <w:tc>
          <w:tcPr>
            <w:tcW w:w="1080" w:type="dxa"/>
          </w:tcPr>
          <w:p w14:paraId="24908006" w14:textId="77777777" w:rsidR="00A124A9" w:rsidRPr="00A124A9" w:rsidRDefault="00A124A9" w:rsidP="00EE604A">
            <w:pPr>
              <w:spacing w:line="360" w:lineRule="auto"/>
              <w:rPr>
                <w:rFonts w:ascii="宋体" w:eastAsia="宋体" w:hAnsi="宋体" w:hint="eastAsia"/>
              </w:rPr>
            </w:pPr>
            <w:r w:rsidRPr="00A124A9">
              <w:rPr>
                <w:rFonts w:ascii="宋体" w:eastAsia="宋体" w:hAnsi="宋体" w:hint="eastAsia"/>
              </w:rPr>
              <w:t>稳健型</w:t>
            </w:r>
          </w:p>
          <w:p w14:paraId="568C1D7A" w14:textId="77777777" w:rsidR="00A124A9" w:rsidRPr="00A124A9" w:rsidRDefault="00A124A9" w:rsidP="00EE604A">
            <w:pPr>
              <w:spacing w:line="360" w:lineRule="auto"/>
              <w:rPr>
                <w:rFonts w:ascii="宋体" w:eastAsia="宋体" w:hAnsi="宋体" w:hint="eastAsia"/>
              </w:rPr>
            </w:pPr>
            <w:r w:rsidRPr="00A124A9">
              <w:rPr>
                <w:rFonts w:ascii="宋体" w:eastAsia="宋体" w:hAnsi="宋体" w:hint="eastAsia"/>
              </w:rPr>
              <w:t>(C3)</w:t>
            </w:r>
          </w:p>
        </w:tc>
        <w:tc>
          <w:tcPr>
            <w:tcW w:w="1080" w:type="dxa"/>
          </w:tcPr>
          <w:p w14:paraId="5853AD1B" w14:textId="77777777" w:rsidR="00A124A9" w:rsidRPr="00A124A9" w:rsidRDefault="00A124A9" w:rsidP="00EE604A">
            <w:pPr>
              <w:spacing w:line="360" w:lineRule="auto"/>
              <w:rPr>
                <w:rFonts w:ascii="宋体" w:eastAsia="宋体" w:hAnsi="宋体" w:hint="eastAsia"/>
              </w:rPr>
            </w:pPr>
            <w:r w:rsidRPr="00A124A9">
              <w:rPr>
                <w:rFonts w:ascii="宋体" w:eastAsia="宋体" w:hAnsi="宋体" w:hint="eastAsia"/>
              </w:rPr>
              <w:t>积极型</w:t>
            </w:r>
          </w:p>
          <w:p w14:paraId="1D24D235" w14:textId="77777777" w:rsidR="00A124A9" w:rsidRPr="00A124A9" w:rsidRDefault="00A124A9" w:rsidP="00EE604A">
            <w:pPr>
              <w:spacing w:line="360" w:lineRule="auto"/>
              <w:rPr>
                <w:rFonts w:ascii="宋体" w:eastAsia="宋体" w:hAnsi="宋体" w:hint="eastAsia"/>
              </w:rPr>
            </w:pPr>
            <w:r w:rsidRPr="00A124A9">
              <w:rPr>
                <w:rFonts w:ascii="宋体" w:eastAsia="宋体" w:hAnsi="宋体" w:hint="eastAsia"/>
              </w:rPr>
              <w:t>(C4)</w:t>
            </w:r>
          </w:p>
        </w:tc>
        <w:tc>
          <w:tcPr>
            <w:tcW w:w="900" w:type="dxa"/>
          </w:tcPr>
          <w:p w14:paraId="28A0F639" w14:textId="77777777" w:rsidR="00A124A9" w:rsidRPr="00A124A9" w:rsidRDefault="00A124A9" w:rsidP="00EE604A">
            <w:pPr>
              <w:spacing w:line="360" w:lineRule="auto"/>
              <w:rPr>
                <w:rFonts w:ascii="宋体" w:eastAsia="宋体" w:hAnsi="宋体" w:hint="eastAsia"/>
              </w:rPr>
            </w:pPr>
            <w:r w:rsidRPr="00A124A9">
              <w:rPr>
                <w:rFonts w:ascii="宋体" w:eastAsia="宋体" w:hAnsi="宋体" w:hint="eastAsia"/>
              </w:rPr>
              <w:t>进取型</w:t>
            </w:r>
          </w:p>
          <w:p w14:paraId="4212C0AC" w14:textId="77777777" w:rsidR="00A124A9" w:rsidRPr="00A124A9" w:rsidRDefault="00A124A9" w:rsidP="00EE604A">
            <w:pPr>
              <w:spacing w:line="360" w:lineRule="auto"/>
              <w:rPr>
                <w:rFonts w:ascii="宋体" w:eastAsia="宋体" w:hAnsi="宋体" w:hint="eastAsia"/>
              </w:rPr>
            </w:pPr>
            <w:r w:rsidRPr="00A124A9">
              <w:rPr>
                <w:rFonts w:ascii="宋体" w:eastAsia="宋体" w:hAnsi="宋体" w:hint="eastAsia"/>
              </w:rPr>
              <w:t>(C5)</w:t>
            </w:r>
          </w:p>
        </w:tc>
      </w:tr>
      <w:tr w:rsidR="00A124A9" w:rsidRPr="00F61CED" w14:paraId="0596CD9B" w14:textId="77777777" w:rsidTr="00EE604A">
        <w:trPr>
          <w:jc w:val="center"/>
        </w:trPr>
        <w:tc>
          <w:tcPr>
            <w:tcW w:w="2808" w:type="dxa"/>
          </w:tcPr>
          <w:p w14:paraId="2DC45188" w14:textId="77777777" w:rsidR="00A124A9" w:rsidRPr="00A124A9" w:rsidRDefault="00A124A9" w:rsidP="00EE604A">
            <w:pPr>
              <w:spacing w:line="360" w:lineRule="auto"/>
              <w:jc w:val="center"/>
              <w:rPr>
                <w:rFonts w:ascii="宋体" w:eastAsia="宋体" w:hAnsi="宋体" w:hint="eastAsia"/>
              </w:rPr>
            </w:pPr>
            <w:r w:rsidRPr="00A124A9">
              <w:rPr>
                <w:rFonts w:ascii="宋体" w:eastAsia="宋体" w:hAnsi="宋体" w:hint="eastAsia"/>
              </w:rPr>
              <w:t>低风险（R1）</w:t>
            </w:r>
          </w:p>
        </w:tc>
        <w:tc>
          <w:tcPr>
            <w:tcW w:w="1080" w:type="dxa"/>
          </w:tcPr>
          <w:p w14:paraId="5F789344"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2FB66EC5"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04C457F5"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7B6F040D"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900" w:type="dxa"/>
          </w:tcPr>
          <w:p w14:paraId="6CFB73CF"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r>
      <w:tr w:rsidR="00A124A9" w:rsidRPr="00F61CED" w14:paraId="3A3E99FC" w14:textId="77777777" w:rsidTr="00EE604A">
        <w:trPr>
          <w:jc w:val="center"/>
        </w:trPr>
        <w:tc>
          <w:tcPr>
            <w:tcW w:w="2808" w:type="dxa"/>
          </w:tcPr>
          <w:p w14:paraId="055A5B19" w14:textId="77777777" w:rsidR="00A124A9" w:rsidRPr="00A124A9" w:rsidRDefault="00A124A9" w:rsidP="00EE604A">
            <w:pPr>
              <w:spacing w:line="360" w:lineRule="auto"/>
              <w:jc w:val="center"/>
              <w:rPr>
                <w:rFonts w:ascii="宋体" w:eastAsia="宋体" w:hAnsi="宋体" w:hint="eastAsia"/>
              </w:rPr>
            </w:pPr>
            <w:r w:rsidRPr="00A124A9">
              <w:rPr>
                <w:rFonts w:ascii="宋体" w:eastAsia="宋体" w:hAnsi="宋体" w:hint="eastAsia"/>
              </w:rPr>
              <w:t>较低风险（R2）</w:t>
            </w:r>
          </w:p>
        </w:tc>
        <w:tc>
          <w:tcPr>
            <w:tcW w:w="1080" w:type="dxa"/>
          </w:tcPr>
          <w:p w14:paraId="766592DD"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31C01EBF"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326865F8"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6A1CBA1A"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900" w:type="dxa"/>
          </w:tcPr>
          <w:p w14:paraId="6B1C5D92"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r>
      <w:tr w:rsidR="00A124A9" w:rsidRPr="00F61CED" w14:paraId="5A7D4990" w14:textId="77777777" w:rsidTr="00EE604A">
        <w:trPr>
          <w:jc w:val="center"/>
        </w:trPr>
        <w:tc>
          <w:tcPr>
            <w:tcW w:w="2808" w:type="dxa"/>
          </w:tcPr>
          <w:p w14:paraId="0EA61A6A" w14:textId="77777777" w:rsidR="00A124A9" w:rsidRPr="00A124A9" w:rsidRDefault="00A124A9" w:rsidP="00EE604A">
            <w:pPr>
              <w:spacing w:line="360" w:lineRule="auto"/>
              <w:jc w:val="center"/>
              <w:rPr>
                <w:rFonts w:ascii="宋体" w:eastAsia="宋体" w:hAnsi="宋体" w:hint="eastAsia"/>
              </w:rPr>
            </w:pPr>
            <w:r w:rsidRPr="00A124A9">
              <w:rPr>
                <w:rFonts w:ascii="宋体" w:eastAsia="宋体" w:hAnsi="宋体" w:hint="eastAsia"/>
              </w:rPr>
              <w:t>中风险（R3）</w:t>
            </w:r>
          </w:p>
        </w:tc>
        <w:tc>
          <w:tcPr>
            <w:tcW w:w="1080" w:type="dxa"/>
          </w:tcPr>
          <w:p w14:paraId="154FFB06"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385DD698"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02FE4EA7"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711C1071"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900" w:type="dxa"/>
          </w:tcPr>
          <w:p w14:paraId="5CAFAC99"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r>
      <w:tr w:rsidR="00A124A9" w:rsidRPr="00F61CED" w14:paraId="7B0A6CF5" w14:textId="77777777" w:rsidTr="00EE604A">
        <w:trPr>
          <w:jc w:val="center"/>
        </w:trPr>
        <w:tc>
          <w:tcPr>
            <w:tcW w:w="2808" w:type="dxa"/>
          </w:tcPr>
          <w:p w14:paraId="137C0D4E" w14:textId="77777777" w:rsidR="00A124A9" w:rsidRPr="00A124A9" w:rsidRDefault="00A124A9" w:rsidP="00EE604A">
            <w:pPr>
              <w:spacing w:line="360" w:lineRule="auto"/>
              <w:jc w:val="center"/>
              <w:rPr>
                <w:rFonts w:ascii="宋体" w:eastAsia="宋体" w:hAnsi="宋体" w:hint="eastAsia"/>
              </w:rPr>
            </w:pPr>
            <w:r w:rsidRPr="00A124A9">
              <w:rPr>
                <w:rFonts w:ascii="宋体" w:eastAsia="宋体" w:hAnsi="宋体" w:hint="eastAsia"/>
              </w:rPr>
              <w:t>较高风险（R4）</w:t>
            </w:r>
          </w:p>
        </w:tc>
        <w:tc>
          <w:tcPr>
            <w:tcW w:w="1080" w:type="dxa"/>
          </w:tcPr>
          <w:p w14:paraId="191723B5"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27C19D57"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49BDCA21"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11001E52"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900" w:type="dxa"/>
          </w:tcPr>
          <w:p w14:paraId="4C97EA75"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r>
      <w:tr w:rsidR="00A124A9" w:rsidRPr="00F61CED" w14:paraId="6B3281C3" w14:textId="77777777" w:rsidTr="00EE604A">
        <w:trPr>
          <w:jc w:val="center"/>
        </w:trPr>
        <w:tc>
          <w:tcPr>
            <w:tcW w:w="2808" w:type="dxa"/>
          </w:tcPr>
          <w:p w14:paraId="5A02E6C4" w14:textId="77777777" w:rsidR="00A124A9" w:rsidRPr="00A124A9" w:rsidRDefault="00A124A9" w:rsidP="00EE604A">
            <w:pPr>
              <w:spacing w:line="360" w:lineRule="auto"/>
              <w:jc w:val="center"/>
              <w:rPr>
                <w:rFonts w:ascii="宋体" w:eastAsia="宋体" w:hAnsi="宋体" w:hint="eastAsia"/>
              </w:rPr>
            </w:pPr>
            <w:r w:rsidRPr="00A124A9">
              <w:rPr>
                <w:rFonts w:ascii="宋体" w:eastAsia="宋体" w:hAnsi="宋体" w:hint="eastAsia"/>
              </w:rPr>
              <w:t>高风险（R5）</w:t>
            </w:r>
          </w:p>
        </w:tc>
        <w:tc>
          <w:tcPr>
            <w:tcW w:w="1080" w:type="dxa"/>
          </w:tcPr>
          <w:p w14:paraId="3C5BDF78"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2B98D882"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21B6CBDE"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1080" w:type="dxa"/>
          </w:tcPr>
          <w:p w14:paraId="7CB7D8EA"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c>
          <w:tcPr>
            <w:tcW w:w="900" w:type="dxa"/>
          </w:tcPr>
          <w:p w14:paraId="34097DF9" w14:textId="77777777" w:rsidR="00A124A9" w:rsidRPr="00A124A9" w:rsidRDefault="00A124A9" w:rsidP="00EE604A">
            <w:pPr>
              <w:spacing w:line="360" w:lineRule="auto"/>
              <w:jc w:val="center"/>
              <w:rPr>
                <w:rFonts w:ascii="宋体" w:hAnsi="宋体" w:hint="eastAsia"/>
                <w:szCs w:val="21"/>
              </w:rPr>
            </w:pPr>
            <w:r w:rsidRPr="00A124A9">
              <w:rPr>
                <w:rFonts w:ascii="宋体" w:hAnsi="宋体" w:hint="eastAsia"/>
                <w:szCs w:val="21"/>
              </w:rPr>
              <w:t>√</w:t>
            </w:r>
          </w:p>
        </w:tc>
      </w:tr>
    </w:tbl>
    <w:p w14:paraId="2E219F0F" w14:textId="561CF7EC" w:rsidR="00A124A9" w:rsidRPr="00A124A9" w:rsidRDefault="00A124A9" w:rsidP="00A124A9">
      <w:pPr>
        <w:spacing w:line="360" w:lineRule="auto"/>
        <w:ind w:firstLine="420"/>
        <w:rPr>
          <w:rFonts w:ascii="宋体" w:hAnsi="宋体" w:hint="eastAsia"/>
          <w:szCs w:val="21"/>
        </w:rPr>
      </w:pPr>
      <w:r w:rsidRPr="00F61CED">
        <w:rPr>
          <w:rFonts w:ascii="宋体" w:hAnsi="宋体" w:hint="eastAsia"/>
          <w:szCs w:val="21"/>
        </w:rPr>
        <w:t>注：√表示匹配</w:t>
      </w:r>
      <w:r w:rsidRPr="00F61CED">
        <w:rPr>
          <w:rFonts w:ascii="宋体" w:hAnsi="宋体" w:hint="eastAsia"/>
          <w:szCs w:val="21"/>
        </w:rPr>
        <w:t xml:space="preserve">, </w:t>
      </w:r>
      <w:r w:rsidRPr="00F61CED">
        <w:rPr>
          <w:rFonts w:ascii="宋体" w:hAnsi="宋体" w:hint="eastAsia"/>
          <w:szCs w:val="21"/>
        </w:rPr>
        <w:t>×表示不匹配</w:t>
      </w:r>
    </w:p>
    <w:p w14:paraId="19B0B5CC" w14:textId="6E5728B0" w:rsidR="000E44A0" w:rsidRPr="00AA04CE" w:rsidRDefault="000E44A0" w:rsidP="00AA04CE">
      <w:pPr>
        <w:spacing w:beforeLines="100" w:before="312"/>
        <w:ind w:firstLineChars="200" w:firstLine="420"/>
        <w:rPr>
          <w:rFonts w:ascii="宋体" w:eastAsia="宋体" w:hAnsi="宋体"/>
        </w:rPr>
      </w:pPr>
      <w:r w:rsidRPr="000E44A0">
        <w:rPr>
          <w:rFonts w:ascii="宋体" w:eastAsia="宋体" w:hAnsi="宋体" w:hint="eastAsia"/>
        </w:rPr>
        <w:t>上述产品风险等级划分</w:t>
      </w:r>
      <w:r w:rsidR="00A124A9">
        <w:rPr>
          <w:rFonts w:ascii="宋体" w:eastAsia="宋体" w:hAnsi="宋体" w:hint="eastAsia"/>
        </w:rPr>
        <w:t>和匹配</w:t>
      </w:r>
      <w:r w:rsidRPr="000E44A0">
        <w:rPr>
          <w:rFonts w:ascii="宋体" w:eastAsia="宋体" w:hAnsi="宋体" w:hint="eastAsia"/>
        </w:rPr>
        <w:t>方法仅代表本公司的观点，投资者亦应认真阅读公司各基金产品的基金合同、招募说明书（更新）、基金产品资料概要（更新）等法律文件，以及过往的基金定期报告等相关信息，以充分了解各基金产品的风险收益特征</w:t>
      </w:r>
      <w:r w:rsidR="00A124A9">
        <w:rPr>
          <w:rFonts w:ascii="宋体" w:eastAsia="宋体" w:hAnsi="宋体" w:hint="eastAsia"/>
        </w:rPr>
        <w:t>，自主判断基金的投资价值，自主做出投资决策，自行承担投资风险</w:t>
      </w:r>
      <w:r w:rsidR="00D632B9">
        <w:rPr>
          <w:rFonts w:ascii="宋体" w:eastAsia="宋体" w:hAnsi="宋体" w:hint="eastAsia"/>
        </w:rPr>
        <w:t>。</w:t>
      </w:r>
      <w:bookmarkStart w:id="0" w:name="_GoBack"/>
      <w:bookmarkEnd w:id="0"/>
    </w:p>
    <w:p w14:paraId="7A36C60C" w14:textId="77777777" w:rsidR="00576E9E" w:rsidRPr="00576E9E" w:rsidRDefault="00576E9E" w:rsidP="00E543BB">
      <w:pPr>
        <w:widowControl/>
        <w:ind w:right="210"/>
        <w:jc w:val="right"/>
        <w:rPr>
          <w:rFonts w:ascii="宋体" w:eastAsia="宋体" w:hAnsi="宋体"/>
          <w:bCs/>
        </w:rPr>
      </w:pPr>
    </w:p>
    <w:sectPr w:rsidR="00576E9E" w:rsidRPr="00576E9E" w:rsidSect="008C22BC">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9A1B1" w14:textId="77777777" w:rsidR="005E5BF4" w:rsidRDefault="005E5BF4" w:rsidP="00E569BA">
      <w:r>
        <w:separator/>
      </w:r>
    </w:p>
  </w:endnote>
  <w:endnote w:type="continuationSeparator" w:id="0">
    <w:p w14:paraId="4035CD67" w14:textId="77777777" w:rsidR="005E5BF4" w:rsidRDefault="005E5BF4" w:rsidP="00E5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擞.泍..">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99C2" w14:textId="77777777" w:rsidR="005E5BF4" w:rsidRDefault="005E5BF4" w:rsidP="00E569BA">
      <w:r>
        <w:separator/>
      </w:r>
    </w:p>
  </w:footnote>
  <w:footnote w:type="continuationSeparator" w:id="0">
    <w:p w14:paraId="7D782866" w14:textId="77777777" w:rsidR="005E5BF4" w:rsidRDefault="005E5BF4" w:rsidP="00E5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318F"/>
    <w:multiLevelType w:val="hybridMultilevel"/>
    <w:tmpl w:val="228E0112"/>
    <w:lvl w:ilvl="0" w:tplc="D5469C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A774B9"/>
    <w:multiLevelType w:val="hybridMultilevel"/>
    <w:tmpl w:val="4E601384"/>
    <w:lvl w:ilvl="0" w:tplc="9D22A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090F88"/>
    <w:multiLevelType w:val="hybridMultilevel"/>
    <w:tmpl w:val="87EA9E1A"/>
    <w:lvl w:ilvl="0" w:tplc="7B4ECEC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B8"/>
    <w:rsid w:val="0002697C"/>
    <w:rsid w:val="000425F8"/>
    <w:rsid w:val="00055F54"/>
    <w:rsid w:val="000916B6"/>
    <w:rsid w:val="000A6FB8"/>
    <w:rsid w:val="000C6CEB"/>
    <w:rsid w:val="000E44A0"/>
    <w:rsid w:val="001158A3"/>
    <w:rsid w:val="00191283"/>
    <w:rsid w:val="001D542D"/>
    <w:rsid w:val="001D6D1D"/>
    <w:rsid w:val="0022168E"/>
    <w:rsid w:val="00230758"/>
    <w:rsid w:val="00236563"/>
    <w:rsid w:val="00270C0B"/>
    <w:rsid w:val="00274068"/>
    <w:rsid w:val="002D6307"/>
    <w:rsid w:val="002F5C7C"/>
    <w:rsid w:val="00326A07"/>
    <w:rsid w:val="00347858"/>
    <w:rsid w:val="0035523B"/>
    <w:rsid w:val="003772F3"/>
    <w:rsid w:val="00381B77"/>
    <w:rsid w:val="003A01A1"/>
    <w:rsid w:val="003D07AD"/>
    <w:rsid w:val="00435E6E"/>
    <w:rsid w:val="00474FBA"/>
    <w:rsid w:val="004A06B2"/>
    <w:rsid w:val="004D194A"/>
    <w:rsid w:val="005016A7"/>
    <w:rsid w:val="0052266F"/>
    <w:rsid w:val="00525C7A"/>
    <w:rsid w:val="00527058"/>
    <w:rsid w:val="00563F83"/>
    <w:rsid w:val="00576E9E"/>
    <w:rsid w:val="005B639F"/>
    <w:rsid w:val="005E5BF4"/>
    <w:rsid w:val="005E63EE"/>
    <w:rsid w:val="00611DEE"/>
    <w:rsid w:val="00666055"/>
    <w:rsid w:val="006766C3"/>
    <w:rsid w:val="00677EAB"/>
    <w:rsid w:val="006C4EC3"/>
    <w:rsid w:val="006D64F9"/>
    <w:rsid w:val="006E2712"/>
    <w:rsid w:val="00715AD8"/>
    <w:rsid w:val="00765C0A"/>
    <w:rsid w:val="007D2492"/>
    <w:rsid w:val="007E28FF"/>
    <w:rsid w:val="00844184"/>
    <w:rsid w:val="00847502"/>
    <w:rsid w:val="00854873"/>
    <w:rsid w:val="00870F21"/>
    <w:rsid w:val="008C22BC"/>
    <w:rsid w:val="00994948"/>
    <w:rsid w:val="009D42FB"/>
    <w:rsid w:val="009F6824"/>
    <w:rsid w:val="00A024F9"/>
    <w:rsid w:val="00A04559"/>
    <w:rsid w:val="00A124A9"/>
    <w:rsid w:val="00A44E05"/>
    <w:rsid w:val="00A565ED"/>
    <w:rsid w:val="00AA04CE"/>
    <w:rsid w:val="00AA646E"/>
    <w:rsid w:val="00AC3FD0"/>
    <w:rsid w:val="00AC752E"/>
    <w:rsid w:val="00AD470B"/>
    <w:rsid w:val="00B32DB4"/>
    <w:rsid w:val="00B66911"/>
    <w:rsid w:val="00C55E8F"/>
    <w:rsid w:val="00C714E6"/>
    <w:rsid w:val="00C74BB1"/>
    <w:rsid w:val="00CC52C4"/>
    <w:rsid w:val="00CF0F20"/>
    <w:rsid w:val="00D158F5"/>
    <w:rsid w:val="00D250B4"/>
    <w:rsid w:val="00D632B9"/>
    <w:rsid w:val="00D65B8E"/>
    <w:rsid w:val="00DD1B33"/>
    <w:rsid w:val="00E25476"/>
    <w:rsid w:val="00E452E2"/>
    <w:rsid w:val="00E543BB"/>
    <w:rsid w:val="00E569BA"/>
    <w:rsid w:val="00E72A57"/>
    <w:rsid w:val="00E74580"/>
    <w:rsid w:val="00E826CD"/>
    <w:rsid w:val="00EF7AC4"/>
    <w:rsid w:val="00F203BD"/>
    <w:rsid w:val="00F20CB9"/>
    <w:rsid w:val="00F3068C"/>
    <w:rsid w:val="00F35051"/>
    <w:rsid w:val="00F5042B"/>
    <w:rsid w:val="00F90C4B"/>
    <w:rsid w:val="00FD4E60"/>
    <w:rsid w:val="00FD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AF77E"/>
  <w15:chartTrackingRefBased/>
  <w15:docId w15:val="{9346F172-D88D-433B-8CA6-E28C6D44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FB8"/>
    <w:pPr>
      <w:ind w:leftChars="2500" w:left="100"/>
    </w:pPr>
  </w:style>
  <w:style w:type="character" w:customStyle="1" w:styleId="a4">
    <w:name w:val="日期 字符"/>
    <w:basedOn w:val="a0"/>
    <w:link w:val="a3"/>
    <w:uiPriority w:val="99"/>
    <w:semiHidden/>
    <w:rsid w:val="000A6FB8"/>
  </w:style>
  <w:style w:type="paragraph" w:styleId="a5">
    <w:name w:val="List Paragraph"/>
    <w:basedOn w:val="a"/>
    <w:uiPriority w:val="34"/>
    <w:qFormat/>
    <w:rsid w:val="000A6FB8"/>
    <w:pPr>
      <w:ind w:firstLineChars="200" w:firstLine="420"/>
    </w:pPr>
  </w:style>
  <w:style w:type="paragraph" w:styleId="a6">
    <w:name w:val="header"/>
    <w:basedOn w:val="a"/>
    <w:link w:val="a7"/>
    <w:uiPriority w:val="99"/>
    <w:unhideWhenUsed/>
    <w:rsid w:val="000A6FB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A6FB8"/>
    <w:rPr>
      <w:sz w:val="18"/>
      <w:szCs w:val="18"/>
    </w:rPr>
  </w:style>
  <w:style w:type="paragraph" w:styleId="a8">
    <w:name w:val="footer"/>
    <w:basedOn w:val="a"/>
    <w:link w:val="a9"/>
    <w:uiPriority w:val="99"/>
    <w:unhideWhenUsed/>
    <w:rsid w:val="000A6FB8"/>
    <w:pPr>
      <w:tabs>
        <w:tab w:val="center" w:pos="4153"/>
        <w:tab w:val="right" w:pos="8306"/>
      </w:tabs>
      <w:snapToGrid w:val="0"/>
      <w:jc w:val="left"/>
    </w:pPr>
    <w:rPr>
      <w:sz w:val="18"/>
      <w:szCs w:val="18"/>
    </w:rPr>
  </w:style>
  <w:style w:type="character" w:customStyle="1" w:styleId="a9">
    <w:name w:val="页脚 字符"/>
    <w:basedOn w:val="a0"/>
    <w:link w:val="a8"/>
    <w:uiPriority w:val="99"/>
    <w:rsid w:val="000A6FB8"/>
    <w:rPr>
      <w:sz w:val="18"/>
      <w:szCs w:val="18"/>
    </w:rPr>
  </w:style>
  <w:style w:type="paragraph" w:styleId="aa">
    <w:name w:val="Balloon Text"/>
    <w:basedOn w:val="a"/>
    <w:link w:val="ab"/>
    <w:uiPriority w:val="99"/>
    <w:semiHidden/>
    <w:unhideWhenUsed/>
    <w:rsid w:val="000A6FB8"/>
    <w:rPr>
      <w:sz w:val="18"/>
      <w:szCs w:val="18"/>
    </w:rPr>
  </w:style>
  <w:style w:type="character" w:customStyle="1" w:styleId="ab">
    <w:name w:val="批注框文本 字符"/>
    <w:basedOn w:val="a0"/>
    <w:link w:val="aa"/>
    <w:uiPriority w:val="99"/>
    <w:semiHidden/>
    <w:rsid w:val="000A6FB8"/>
    <w:rPr>
      <w:sz w:val="18"/>
      <w:szCs w:val="18"/>
    </w:rPr>
  </w:style>
  <w:style w:type="paragraph" w:customStyle="1" w:styleId="Default">
    <w:name w:val="Default"/>
    <w:rsid w:val="000A6FB8"/>
    <w:pPr>
      <w:widowControl w:val="0"/>
      <w:autoSpaceDE w:val="0"/>
      <w:autoSpaceDN w:val="0"/>
      <w:adjustRightInd w:val="0"/>
    </w:pPr>
    <w:rPr>
      <w:rFonts w:ascii="宋体.擞.泍.." w:eastAsia="宋体.擞.泍.." w:hAnsi="Times New Roman" w:cs="宋体.擞.泍.."/>
      <w:color w:val="000000"/>
      <w:kern w:val="0"/>
      <w:sz w:val="24"/>
      <w:szCs w:val="24"/>
    </w:rPr>
  </w:style>
  <w:style w:type="character" w:styleId="ac">
    <w:name w:val="Hyperlink"/>
    <w:basedOn w:val="a0"/>
    <w:uiPriority w:val="99"/>
    <w:semiHidden/>
    <w:unhideWhenUsed/>
    <w:rsid w:val="000A6FB8"/>
    <w:rPr>
      <w:color w:val="0000FF"/>
      <w:u w:val="single"/>
    </w:rPr>
  </w:style>
  <w:style w:type="character" w:styleId="ad">
    <w:name w:val="FollowedHyperlink"/>
    <w:basedOn w:val="a0"/>
    <w:uiPriority w:val="99"/>
    <w:semiHidden/>
    <w:unhideWhenUsed/>
    <w:rsid w:val="000A6FB8"/>
    <w:rPr>
      <w:color w:val="800080"/>
      <w:u w:val="single"/>
    </w:rPr>
  </w:style>
  <w:style w:type="paragraph" w:customStyle="1" w:styleId="xl63">
    <w:name w:val="xl63"/>
    <w:basedOn w:val="a"/>
    <w:rsid w:val="000A6FB8"/>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4">
    <w:name w:val="xl64"/>
    <w:basedOn w:val="a"/>
    <w:rsid w:val="000A6FB8"/>
    <w:pPr>
      <w:widowControl/>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5">
    <w:name w:val="xl65"/>
    <w:basedOn w:val="a"/>
    <w:rsid w:val="000A6FB8"/>
    <w:pPr>
      <w:widowControl/>
      <w:pBdr>
        <w:top w:val="single" w:sz="4" w:space="0" w:color="000000"/>
        <w:left w:val="single" w:sz="4" w:space="0" w:color="000000"/>
        <w:bottom w:val="single" w:sz="4" w:space="0" w:color="000000"/>
      </w:pBdr>
      <w:shd w:val="clear" w:color="000000" w:fill="CC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6">
    <w:name w:val="xl66"/>
    <w:basedOn w:val="a"/>
    <w:rsid w:val="000A6FB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7">
    <w:name w:val="xl67"/>
    <w:basedOn w:val="a"/>
    <w:rsid w:val="000A6FB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8">
    <w:name w:val="xl68"/>
    <w:basedOn w:val="a"/>
    <w:rsid w:val="000A6FB8"/>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9">
    <w:name w:val="xl69"/>
    <w:basedOn w:val="a"/>
    <w:rsid w:val="000A6FB8"/>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xl70">
    <w:name w:val="xl70"/>
    <w:basedOn w:val="a"/>
    <w:rsid w:val="000A6FB8"/>
    <w:pPr>
      <w:widowControl/>
      <w:pBdr>
        <w:bottom w:val="single" w:sz="4" w:space="0" w:color="000000"/>
      </w:pBdr>
      <w:spacing w:before="100" w:beforeAutospacing="1" w:after="100" w:afterAutospacing="1"/>
      <w:jc w:val="left"/>
      <w:textAlignment w:val="center"/>
    </w:pPr>
    <w:rPr>
      <w:rFonts w:ascii="宋体" w:eastAsia="宋体" w:hAnsi="宋体" w:cs="宋体"/>
      <w:color w:val="000000"/>
      <w:kern w:val="0"/>
      <w:sz w:val="18"/>
      <w:szCs w:val="18"/>
    </w:rPr>
  </w:style>
  <w:style w:type="table" w:styleId="ae">
    <w:name w:val="Table Grid"/>
    <w:basedOn w:val="a1"/>
    <w:uiPriority w:val="39"/>
    <w:rsid w:val="000A6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D6D1D"/>
  </w:style>
  <w:style w:type="character" w:styleId="af0">
    <w:name w:val="annotation reference"/>
    <w:basedOn w:val="a0"/>
    <w:uiPriority w:val="99"/>
    <w:semiHidden/>
    <w:unhideWhenUsed/>
    <w:rsid w:val="001D6D1D"/>
    <w:rPr>
      <w:sz w:val="21"/>
      <w:szCs w:val="21"/>
    </w:rPr>
  </w:style>
  <w:style w:type="paragraph" w:styleId="af1">
    <w:name w:val="annotation text"/>
    <w:basedOn w:val="a"/>
    <w:link w:val="af2"/>
    <w:uiPriority w:val="99"/>
    <w:semiHidden/>
    <w:unhideWhenUsed/>
    <w:rsid w:val="001D6D1D"/>
    <w:pPr>
      <w:jc w:val="left"/>
    </w:pPr>
  </w:style>
  <w:style w:type="character" w:customStyle="1" w:styleId="af2">
    <w:name w:val="批注文字 字符"/>
    <w:basedOn w:val="a0"/>
    <w:link w:val="af1"/>
    <w:uiPriority w:val="99"/>
    <w:semiHidden/>
    <w:rsid w:val="001D6D1D"/>
  </w:style>
  <w:style w:type="paragraph" w:styleId="af3">
    <w:name w:val="annotation subject"/>
    <w:basedOn w:val="af1"/>
    <w:next w:val="af1"/>
    <w:link w:val="af4"/>
    <w:uiPriority w:val="99"/>
    <w:semiHidden/>
    <w:unhideWhenUsed/>
    <w:rsid w:val="001D6D1D"/>
    <w:rPr>
      <w:b/>
      <w:bCs/>
    </w:rPr>
  </w:style>
  <w:style w:type="character" w:customStyle="1" w:styleId="af4">
    <w:name w:val="批注主题 字符"/>
    <w:basedOn w:val="af2"/>
    <w:link w:val="af3"/>
    <w:uiPriority w:val="99"/>
    <w:semiHidden/>
    <w:rsid w:val="001D6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44828">
      <w:bodyDiv w:val="1"/>
      <w:marLeft w:val="0"/>
      <w:marRight w:val="0"/>
      <w:marTop w:val="0"/>
      <w:marBottom w:val="0"/>
      <w:divBdr>
        <w:top w:val="none" w:sz="0" w:space="0" w:color="auto"/>
        <w:left w:val="none" w:sz="0" w:space="0" w:color="auto"/>
        <w:bottom w:val="none" w:sz="0" w:space="0" w:color="auto"/>
        <w:right w:val="none" w:sz="0" w:space="0" w:color="auto"/>
      </w:divBdr>
    </w:div>
    <w:div w:id="682631747">
      <w:bodyDiv w:val="1"/>
      <w:marLeft w:val="0"/>
      <w:marRight w:val="0"/>
      <w:marTop w:val="0"/>
      <w:marBottom w:val="0"/>
      <w:divBdr>
        <w:top w:val="none" w:sz="0" w:space="0" w:color="auto"/>
        <w:left w:val="none" w:sz="0" w:space="0" w:color="auto"/>
        <w:bottom w:val="none" w:sz="0" w:space="0" w:color="auto"/>
        <w:right w:val="none" w:sz="0" w:space="0" w:color="auto"/>
      </w:divBdr>
    </w:div>
    <w:div w:id="21346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2799</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立峰</dc:creator>
  <cp:keywords/>
  <dc:description/>
  <cp:lastModifiedBy>刘天天</cp:lastModifiedBy>
  <cp:revision>14</cp:revision>
  <cp:lastPrinted>2021-11-22T08:16:00Z</cp:lastPrinted>
  <dcterms:created xsi:type="dcterms:W3CDTF">2022-01-28T01:33:00Z</dcterms:created>
  <dcterms:modified xsi:type="dcterms:W3CDTF">2022-02-24T01:57:00Z</dcterms:modified>
</cp:coreProperties>
</file>